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E6" w:rsidRPr="00857F29" w:rsidRDefault="00B24C8B" w:rsidP="007252E6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B24C8B">
        <w:rPr>
          <w:b/>
          <w:sz w:val="28"/>
          <w:szCs w:val="28"/>
          <w:lang w:val="en-GB"/>
        </w:rPr>
        <w:t>Surface plasmon resonance spectroscopy as a key to the development of sensitive biosensors</w:t>
      </w:r>
    </w:p>
    <w:p w:rsidR="00053A2C" w:rsidRPr="007252E6" w:rsidRDefault="00053A2C" w:rsidP="006343C0">
      <w:pPr>
        <w:jc w:val="center"/>
        <w:rPr>
          <w:b/>
          <w:lang w:val="en-GB"/>
        </w:rPr>
      </w:pPr>
    </w:p>
    <w:p w:rsidR="00053A2C" w:rsidRPr="007252E6" w:rsidRDefault="00B24C8B" w:rsidP="00B24C8B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 xml:space="preserve">A. Popov, V. Lisyte, A. </w:t>
      </w:r>
      <w:r>
        <w:rPr>
          <w:b/>
          <w:szCs w:val="22"/>
          <w:lang w:val="en-GB"/>
        </w:rPr>
        <w:t>Kausaite-Minkstimiene, A. Ramanaviciene</w:t>
      </w:r>
    </w:p>
    <w:p w:rsidR="004A1E19" w:rsidRPr="007252E6" w:rsidRDefault="00B24C8B" w:rsidP="004A1E19">
      <w:pPr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NanoT</w:t>
      </w:r>
      <w:r w:rsidRPr="00B24C8B">
        <w:rPr>
          <w:i/>
          <w:sz w:val="20"/>
          <w:szCs w:val="20"/>
          <w:lang w:val="en-US"/>
        </w:rPr>
        <w:t>echnas ‒ Center of Nanotechnology and Materials Science, Institute of Chemistry, Faculty of Chemistry and Geosciences, Vilnius University, Naugarduko str. 24, LT-03225 Vilnius, Lithuania;</w:t>
      </w:r>
    </w:p>
    <w:p w:rsidR="00867ED4" w:rsidRPr="007252E6" w:rsidRDefault="004A1E19" w:rsidP="004A1E19">
      <w:pPr>
        <w:ind w:left="720"/>
        <w:jc w:val="center"/>
        <w:rPr>
          <w:i/>
          <w:sz w:val="20"/>
          <w:szCs w:val="20"/>
          <w:lang w:val="en-US"/>
        </w:rPr>
      </w:pPr>
      <w:r w:rsidRPr="007252E6">
        <w:rPr>
          <w:sz w:val="20"/>
          <w:szCs w:val="20"/>
          <w:lang w:val="en-US"/>
        </w:rPr>
        <w:t>*</w:t>
      </w:r>
      <w:r w:rsidR="00B24C8B">
        <w:rPr>
          <w:sz w:val="20"/>
          <w:szCs w:val="20"/>
          <w:lang w:val="en-US"/>
        </w:rPr>
        <w:t>Anton Popov</w:t>
      </w:r>
      <w:r w:rsidRPr="007252E6">
        <w:rPr>
          <w:i/>
          <w:sz w:val="20"/>
          <w:szCs w:val="20"/>
          <w:lang w:val="en-US"/>
        </w:rPr>
        <w:t>, e</w:t>
      </w:r>
      <w:r w:rsidR="00053A2C" w:rsidRPr="007252E6">
        <w:rPr>
          <w:i/>
          <w:sz w:val="20"/>
          <w:szCs w:val="20"/>
          <w:lang w:val="en-US"/>
        </w:rPr>
        <w:t>-mail:</w:t>
      </w:r>
      <w:r w:rsidR="00B24C8B">
        <w:rPr>
          <w:i/>
          <w:sz w:val="20"/>
          <w:szCs w:val="20"/>
          <w:lang w:val="en-US"/>
        </w:rPr>
        <w:t xml:space="preserve"> </w:t>
      </w:r>
      <w:r w:rsidR="00B24C8B" w:rsidRPr="00B24C8B">
        <w:rPr>
          <w:i/>
          <w:sz w:val="20"/>
          <w:szCs w:val="20"/>
          <w:lang w:val="en-US"/>
        </w:rPr>
        <w:t>anton.popov@chgf.vu.lt</w:t>
      </w:r>
    </w:p>
    <w:p w:rsidR="007252E6" w:rsidRPr="005A4066" w:rsidRDefault="007252E6" w:rsidP="00B16327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65081" w:rsidRDefault="00183A93" w:rsidP="007252E6">
      <w:pPr>
        <w:autoSpaceDE w:val="0"/>
        <w:autoSpaceDN w:val="0"/>
        <w:adjustRightInd w:val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 immunosensor is a type of biosensor that </w:t>
      </w:r>
      <w:r w:rsidR="00B97051">
        <w:rPr>
          <w:sz w:val="22"/>
          <w:szCs w:val="22"/>
          <w:lang w:val="en-US"/>
        </w:rPr>
        <w:t xml:space="preserve">is </w:t>
      </w:r>
      <w:r>
        <w:rPr>
          <w:sz w:val="22"/>
          <w:szCs w:val="22"/>
          <w:lang w:val="en-US"/>
        </w:rPr>
        <w:t xml:space="preserve">designed to monitor the interaction between </w:t>
      </w:r>
      <w:r w:rsidR="00B97051">
        <w:rPr>
          <w:sz w:val="22"/>
          <w:szCs w:val="22"/>
          <w:lang w:val="en-US"/>
        </w:rPr>
        <w:t xml:space="preserve">an </w:t>
      </w:r>
      <w:r>
        <w:rPr>
          <w:sz w:val="22"/>
          <w:szCs w:val="22"/>
          <w:lang w:val="en-US"/>
        </w:rPr>
        <w:t xml:space="preserve">antibody or antigen and </w:t>
      </w:r>
      <w:r w:rsidR="00B97051">
        <w:rPr>
          <w:sz w:val="22"/>
          <w:szCs w:val="22"/>
          <w:lang w:val="en-US"/>
        </w:rPr>
        <w:t>an</w:t>
      </w:r>
      <w:r>
        <w:rPr>
          <w:sz w:val="22"/>
          <w:szCs w:val="22"/>
          <w:lang w:val="en-US"/>
        </w:rPr>
        <w:t xml:space="preserve"> analyte. </w:t>
      </w:r>
      <w:r w:rsidR="00B97051">
        <w:rPr>
          <w:sz w:val="22"/>
          <w:szCs w:val="22"/>
          <w:lang w:val="en-US"/>
        </w:rPr>
        <w:t>The formation of i</w:t>
      </w:r>
      <w:r>
        <w:rPr>
          <w:sz w:val="22"/>
          <w:szCs w:val="22"/>
          <w:lang w:val="en-US"/>
        </w:rPr>
        <w:t xml:space="preserve">mmune </w:t>
      </w:r>
      <w:r w:rsidR="00B97051">
        <w:rPr>
          <w:sz w:val="22"/>
          <w:szCs w:val="22"/>
          <w:lang w:val="en-US"/>
        </w:rPr>
        <w:t>complex</w:t>
      </w:r>
      <w:r>
        <w:rPr>
          <w:sz w:val="22"/>
          <w:szCs w:val="22"/>
          <w:lang w:val="en-US"/>
        </w:rPr>
        <w:t xml:space="preserve"> on the surface of transdu</w:t>
      </w:r>
      <w:r w:rsidR="00B97051">
        <w:rPr>
          <w:sz w:val="22"/>
          <w:szCs w:val="22"/>
          <w:lang w:val="en-US"/>
        </w:rPr>
        <w:t>cer generates a measurable signal in response to a change in analyte concentration</w:t>
      </w:r>
      <w:r w:rsidR="008413B5">
        <w:rPr>
          <w:sz w:val="22"/>
          <w:szCs w:val="22"/>
          <w:lang w:val="en-US"/>
        </w:rPr>
        <w:t xml:space="preserve"> [1]. </w:t>
      </w:r>
      <w:r w:rsidR="00E51B09">
        <w:rPr>
          <w:sz w:val="22"/>
          <w:szCs w:val="22"/>
          <w:lang w:val="en-US"/>
        </w:rPr>
        <w:t>The immunosensors can be used</w:t>
      </w:r>
      <w:r w:rsidR="00786654">
        <w:rPr>
          <w:sz w:val="22"/>
          <w:szCs w:val="22"/>
          <w:lang w:val="en-US"/>
        </w:rPr>
        <w:t xml:space="preserve"> to detect</w:t>
      </w:r>
      <w:r w:rsidR="00E51B09">
        <w:rPr>
          <w:sz w:val="22"/>
          <w:szCs w:val="22"/>
          <w:lang w:val="en-US"/>
        </w:rPr>
        <w:t xml:space="preserve"> various biomarkers whose concentration in body fluids </w:t>
      </w:r>
      <w:r w:rsidR="00786654">
        <w:rPr>
          <w:sz w:val="22"/>
          <w:szCs w:val="22"/>
          <w:lang w:val="en-US"/>
        </w:rPr>
        <w:t xml:space="preserve">is usually </w:t>
      </w:r>
      <w:r w:rsidR="00E51B09">
        <w:rPr>
          <w:sz w:val="22"/>
          <w:szCs w:val="22"/>
          <w:lang w:val="en-US"/>
        </w:rPr>
        <w:t>quite low.</w:t>
      </w:r>
      <w:r w:rsidR="00786654">
        <w:rPr>
          <w:sz w:val="22"/>
          <w:szCs w:val="22"/>
          <w:lang w:val="en-US"/>
        </w:rPr>
        <w:t xml:space="preserve"> Therefore, it is important to apply sensitive method</w:t>
      </w:r>
      <w:r w:rsidR="00786654" w:rsidRPr="00786654">
        <w:rPr>
          <w:sz w:val="22"/>
          <w:szCs w:val="22"/>
          <w:lang w:val="en-US"/>
        </w:rPr>
        <w:t xml:space="preserve"> </w:t>
      </w:r>
      <w:r w:rsidR="00786654">
        <w:rPr>
          <w:sz w:val="22"/>
          <w:szCs w:val="22"/>
          <w:lang w:val="en-US"/>
        </w:rPr>
        <w:t>of detection.</w:t>
      </w:r>
      <w:r w:rsidR="00F67E4B">
        <w:rPr>
          <w:sz w:val="22"/>
          <w:szCs w:val="22"/>
          <w:lang w:val="en-US"/>
        </w:rPr>
        <w:t xml:space="preserve"> One of the most sensitive methods is </w:t>
      </w:r>
      <w:r w:rsidR="00F67E4B" w:rsidRPr="00F67E4B">
        <w:rPr>
          <w:sz w:val="22"/>
          <w:szCs w:val="22"/>
          <w:lang w:val="en-US"/>
        </w:rPr>
        <w:t>surface p</w:t>
      </w:r>
      <w:r w:rsidR="00F67E4B">
        <w:rPr>
          <w:sz w:val="22"/>
          <w:szCs w:val="22"/>
          <w:lang w:val="en-US"/>
        </w:rPr>
        <w:t>lasmon resonance (SPR) spectroscopy [2]</w:t>
      </w:r>
      <w:r w:rsidR="00B65081">
        <w:rPr>
          <w:sz w:val="22"/>
          <w:szCs w:val="22"/>
          <w:lang w:val="en-US"/>
        </w:rPr>
        <w:t>.</w:t>
      </w:r>
    </w:p>
    <w:p w:rsidR="00E51B09" w:rsidRDefault="00216640" w:rsidP="007252E6">
      <w:pPr>
        <w:autoSpaceDE w:val="0"/>
        <w:autoSpaceDN w:val="0"/>
        <w:adjustRightInd w:val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main advantage of SPR technique is the real-time monitoring of analyte without any labels. Moreover, the binding kinetics of molecules can be investigated while measuring a low concentration of the analyte from relatively small volume</w:t>
      </w:r>
      <w:r w:rsidR="0066708A">
        <w:rPr>
          <w:sz w:val="22"/>
          <w:szCs w:val="22"/>
          <w:lang w:val="en-US"/>
        </w:rPr>
        <w:t> [3]</w:t>
      </w:r>
      <w:r>
        <w:rPr>
          <w:sz w:val="22"/>
          <w:szCs w:val="22"/>
          <w:lang w:val="en-US"/>
        </w:rPr>
        <w:t>.</w:t>
      </w:r>
      <w:r w:rsidR="00A4751C">
        <w:rPr>
          <w:sz w:val="22"/>
          <w:szCs w:val="22"/>
          <w:lang w:val="en-US"/>
        </w:rPr>
        <w:t xml:space="preserve"> Detection is possible </w:t>
      </w:r>
      <w:r w:rsidR="00962D8B">
        <w:rPr>
          <w:sz w:val="22"/>
          <w:szCs w:val="22"/>
          <w:lang w:val="en-US"/>
        </w:rPr>
        <w:t>under</w:t>
      </w:r>
      <w:r w:rsidR="00A4751C">
        <w:rPr>
          <w:sz w:val="22"/>
          <w:szCs w:val="22"/>
          <w:lang w:val="en-US"/>
        </w:rPr>
        <w:t xml:space="preserve"> complex matrix conditions in the presence of high level of foreign substances, </w:t>
      </w:r>
      <w:r w:rsidR="00962D8B" w:rsidRPr="00962D8B">
        <w:rPr>
          <w:sz w:val="22"/>
          <w:szCs w:val="22"/>
          <w:lang w:val="en-US"/>
        </w:rPr>
        <w:t>which eliminates the complex and time-consuming procedure of sample preparation and concentration.</w:t>
      </w:r>
      <w:r w:rsidR="00B64E6F">
        <w:rPr>
          <w:sz w:val="22"/>
          <w:szCs w:val="22"/>
          <w:lang w:val="en-US"/>
        </w:rPr>
        <w:t xml:space="preserve"> </w:t>
      </w:r>
      <w:r w:rsidR="00B65081">
        <w:rPr>
          <w:sz w:val="22"/>
          <w:szCs w:val="22"/>
          <w:lang w:val="en-US"/>
        </w:rPr>
        <w:t xml:space="preserve">SPR biosensing is suitable for </w:t>
      </w:r>
      <w:r w:rsidR="00B64E6F">
        <w:rPr>
          <w:sz w:val="22"/>
          <w:szCs w:val="22"/>
          <w:lang w:val="en-US"/>
        </w:rPr>
        <w:t>multiple use in automatic mode and can be applied for rapid</w:t>
      </w:r>
      <w:r w:rsidR="00B65081" w:rsidRPr="00B65081">
        <w:rPr>
          <w:sz w:val="22"/>
          <w:szCs w:val="22"/>
          <w:lang w:val="en-US"/>
        </w:rPr>
        <w:t xml:space="preserve"> quantifying </w:t>
      </w:r>
      <w:r w:rsidR="00B65081">
        <w:rPr>
          <w:sz w:val="22"/>
          <w:szCs w:val="22"/>
          <w:lang w:val="en-US"/>
        </w:rPr>
        <w:t xml:space="preserve">of </w:t>
      </w:r>
      <w:r w:rsidR="00B65081" w:rsidRPr="00B65081">
        <w:rPr>
          <w:sz w:val="22"/>
          <w:szCs w:val="22"/>
          <w:lang w:val="en-US"/>
        </w:rPr>
        <w:t>multiplex</w:t>
      </w:r>
      <w:r w:rsidR="00B65081">
        <w:rPr>
          <w:sz w:val="22"/>
          <w:szCs w:val="22"/>
          <w:lang w:val="en-US"/>
        </w:rPr>
        <w:t xml:space="preserve"> analytes</w:t>
      </w:r>
      <w:r w:rsidR="00B64E6F">
        <w:rPr>
          <w:sz w:val="22"/>
          <w:szCs w:val="22"/>
          <w:lang w:val="en-US"/>
        </w:rPr>
        <w:t>. Moreover, examples of wearable SPR sensors can be found in the literature [4]</w:t>
      </w:r>
      <w:r w:rsidR="00B65081">
        <w:rPr>
          <w:sz w:val="22"/>
          <w:szCs w:val="22"/>
          <w:lang w:val="en-US"/>
        </w:rPr>
        <w:t>.</w:t>
      </w:r>
    </w:p>
    <w:p w:rsidR="00E86343" w:rsidRDefault="00E86343" w:rsidP="007252E6">
      <w:pPr>
        <w:autoSpaceDE w:val="0"/>
        <w:autoSpaceDN w:val="0"/>
        <w:adjustRightInd w:val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Accord</w:t>
      </w:r>
      <w:r w:rsidR="00DB30EA">
        <w:rPr>
          <w:sz w:val="22"/>
          <w:szCs w:val="22"/>
          <w:lang w:val="en-US"/>
        </w:rPr>
        <w:t>ing to sensing principle</w:t>
      </w:r>
      <w:r>
        <w:rPr>
          <w:sz w:val="22"/>
          <w:szCs w:val="22"/>
          <w:lang w:val="en-US"/>
        </w:rPr>
        <w:t>, the detection of low molecular weight biomarkers is complicated using SPR spectroscopy. The application of sandwich immunoassay format could be a solution to this issue. Moreover, the detection of small biomarkers at low concentration could be reached using various nanostructures</w:t>
      </w:r>
      <w:r w:rsidR="00D8782D">
        <w:rPr>
          <w:sz w:val="22"/>
          <w:szCs w:val="22"/>
          <w:lang w:val="en-US"/>
        </w:rPr>
        <w:t xml:space="preserve"> [3, 5]</w:t>
      </w:r>
      <w:r>
        <w:rPr>
          <w:sz w:val="22"/>
          <w:szCs w:val="22"/>
          <w:lang w:val="en-US"/>
        </w:rPr>
        <w:t>.</w:t>
      </w:r>
    </w:p>
    <w:p w:rsidR="007252E6" w:rsidRDefault="007252E6" w:rsidP="007252E6">
      <w:pPr>
        <w:autoSpaceDE w:val="0"/>
        <w:autoSpaceDN w:val="0"/>
        <w:adjustRightInd w:val="0"/>
        <w:spacing w:after="60"/>
        <w:jc w:val="center"/>
        <w:rPr>
          <w:b/>
          <w:sz w:val="22"/>
          <w:szCs w:val="22"/>
          <w:lang w:val="en-GB"/>
        </w:rPr>
      </w:pPr>
    </w:p>
    <w:p w:rsidR="00B1638C" w:rsidRDefault="00B1638C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  <w:lang w:val="en-GB"/>
        </w:rPr>
      </w:pPr>
    </w:p>
    <w:p w:rsidR="00DB30EA" w:rsidRDefault="00DB30EA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  <w:lang w:val="en-GB"/>
        </w:rPr>
      </w:pPr>
    </w:p>
    <w:p w:rsidR="00DB30EA" w:rsidRDefault="00DB30EA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  <w:lang w:val="en-GB"/>
        </w:rPr>
      </w:pPr>
    </w:p>
    <w:p w:rsidR="00DB30EA" w:rsidRDefault="00DB30EA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  <w:lang w:val="en-GB"/>
        </w:rPr>
      </w:pPr>
    </w:p>
    <w:p w:rsidR="00DB30EA" w:rsidRDefault="00DB30EA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</w:rPr>
      </w:pPr>
    </w:p>
    <w:p w:rsidR="00DB30EA" w:rsidRDefault="00DB30EA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</w:rPr>
      </w:pPr>
    </w:p>
    <w:p w:rsidR="00DB30EA" w:rsidRDefault="00DB30EA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</w:rPr>
      </w:pPr>
    </w:p>
    <w:p w:rsidR="00DB30EA" w:rsidRPr="00DB30EA" w:rsidRDefault="00DB30EA" w:rsidP="00B1638C">
      <w:pPr>
        <w:autoSpaceDE w:val="0"/>
        <w:autoSpaceDN w:val="0"/>
        <w:adjustRightInd w:val="0"/>
        <w:jc w:val="left"/>
        <w:rPr>
          <w:color w:val="1A1A1A"/>
          <w:sz w:val="20"/>
          <w:szCs w:val="20"/>
        </w:rPr>
      </w:pPr>
    </w:p>
    <w:p w:rsidR="00DB30EA" w:rsidRPr="00DB30EA" w:rsidRDefault="00DB30EA" w:rsidP="00DB30EA">
      <w:pPr>
        <w:autoSpaceDE w:val="0"/>
        <w:autoSpaceDN w:val="0"/>
        <w:adjustRightInd w:val="0"/>
        <w:spacing w:after="60"/>
        <w:rPr>
          <w:b/>
          <w:color w:val="231F20"/>
          <w:sz w:val="22"/>
          <w:szCs w:val="22"/>
          <w:lang w:val="en"/>
        </w:rPr>
      </w:pPr>
      <w:r w:rsidRPr="00DB30EA">
        <w:rPr>
          <w:b/>
          <w:color w:val="231F20"/>
          <w:sz w:val="22"/>
          <w:szCs w:val="22"/>
          <w:lang w:val="en"/>
        </w:rPr>
        <w:t>Acknowledgments</w:t>
      </w:r>
    </w:p>
    <w:p w:rsidR="00DB30EA" w:rsidRDefault="00574CF3" w:rsidP="00DB30EA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  <w:r w:rsidRPr="00574CF3">
        <w:rPr>
          <w:color w:val="231F20"/>
          <w:sz w:val="22"/>
          <w:szCs w:val="22"/>
          <w:lang w:val="en"/>
        </w:rPr>
        <w:t>This research was funded by a grant (No. S-MIP-22-46) from the Research Council of Lithuania.</w:t>
      </w:r>
    </w:p>
    <w:p w:rsidR="00DB30EA" w:rsidRDefault="00DB30EA" w:rsidP="00DB30EA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</w:p>
    <w:p w:rsidR="00DB30EA" w:rsidRDefault="00DB30EA" w:rsidP="00DB30EA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</w:p>
    <w:p w:rsidR="00DB30EA" w:rsidRDefault="00DB30EA" w:rsidP="00DB30EA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</w:p>
    <w:p w:rsidR="00DB30EA" w:rsidRDefault="00DB30EA" w:rsidP="00DB30EA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</w:p>
    <w:p w:rsidR="00DB30EA" w:rsidRDefault="00DB30EA" w:rsidP="00DB30EA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</w:p>
    <w:p w:rsidR="005A4066" w:rsidRPr="005A4066" w:rsidRDefault="00B26DE5" w:rsidP="005A4066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lt-LT"/>
        </w:rPr>
      </w:pPr>
      <w:r>
        <w:rPr>
          <w:color w:val="231F20"/>
          <w:sz w:val="22"/>
          <w:szCs w:val="22"/>
          <w:lang w:val="en-US"/>
        </w:rPr>
        <w:t xml:space="preserve">File should be submitted in the .docx format. </w:t>
      </w:r>
      <w:r w:rsidR="005A4066" w:rsidRPr="005A4066">
        <w:rPr>
          <w:color w:val="231F20"/>
          <w:sz w:val="22"/>
          <w:szCs w:val="22"/>
          <w:lang w:val="en-US"/>
        </w:rPr>
        <w:t>Filename must have the following format: author.doc</w:t>
      </w:r>
      <w:r w:rsidR="005A4066">
        <w:rPr>
          <w:color w:val="231F20"/>
          <w:sz w:val="22"/>
          <w:szCs w:val="22"/>
          <w:lang w:val="en-US"/>
        </w:rPr>
        <w:t>x</w:t>
      </w:r>
      <w:r w:rsidR="005A4066" w:rsidRPr="005A4066">
        <w:rPr>
          <w:color w:val="231F20"/>
          <w:sz w:val="22"/>
          <w:szCs w:val="22"/>
          <w:lang w:val="en-US"/>
        </w:rPr>
        <w:t xml:space="preserve"> (</w:t>
      </w:r>
      <w:r>
        <w:rPr>
          <w:color w:val="231F20"/>
          <w:sz w:val="22"/>
          <w:szCs w:val="22"/>
          <w:lang w:val="en-US"/>
        </w:rPr>
        <w:t>i.e.</w:t>
      </w:r>
      <w:r w:rsidR="005A4066" w:rsidRPr="005A4066">
        <w:rPr>
          <w:color w:val="231F20"/>
          <w:sz w:val="22"/>
          <w:szCs w:val="22"/>
          <w:lang w:val="en-US"/>
        </w:rPr>
        <w:t xml:space="preserve"> </w:t>
      </w:r>
      <w:r w:rsidR="005A4066">
        <w:rPr>
          <w:color w:val="231F20"/>
          <w:sz w:val="22"/>
          <w:szCs w:val="22"/>
          <w:lang w:val="en-US"/>
        </w:rPr>
        <w:t>name_surname</w:t>
      </w:r>
      <w:r w:rsidR="005A4066" w:rsidRPr="005A4066">
        <w:rPr>
          <w:color w:val="231F20"/>
          <w:sz w:val="22"/>
          <w:szCs w:val="22"/>
          <w:lang w:val="en-US"/>
        </w:rPr>
        <w:t>.doc</w:t>
      </w:r>
      <w:r w:rsidR="005A4066">
        <w:rPr>
          <w:color w:val="231F20"/>
          <w:sz w:val="22"/>
          <w:szCs w:val="22"/>
          <w:lang w:val="en-US"/>
        </w:rPr>
        <w:t>x</w:t>
      </w:r>
      <w:r w:rsidR="005A4066" w:rsidRPr="005A4066">
        <w:rPr>
          <w:color w:val="231F20"/>
          <w:sz w:val="22"/>
          <w:szCs w:val="22"/>
          <w:lang w:val="en-US"/>
        </w:rPr>
        <w:t>) and should be sent to</w:t>
      </w:r>
      <w:r w:rsidR="005A4066">
        <w:rPr>
          <w:color w:val="231F20"/>
          <w:sz w:val="22"/>
          <w:szCs w:val="22"/>
          <w:lang w:val="en-US"/>
        </w:rPr>
        <w:t xml:space="preserve"> </w:t>
      </w:r>
      <w:hyperlink r:id="rId6" w:history="1">
        <w:r w:rsidR="005A4066" w:rsidRPr="007D14BA">
          <w:rPr>
            <w:rStyle w:val="Hyperlink"/>
            <w:sz w:val="22"/>
            <w:szCs w:val="22"/>
            <w:lang w:val="en-US"/>
          </w:rPr>
          <w:t>fim@chgf.vu.lt</w:t>
        </w:r>
      </w:hyperlink>
    </w:p>
    <w:p w:rsidR="007252E6" w:rsidRPr="005A4066" w:rsidRDefault="007252E6" w:rsidP="007252E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D4096A" w:rsidRPr="00B16327" w:rsidRDefault="00D4096A" w:rsidP="00D4096A">
      <w:pPr>
        <w:rPr>
          <w:b/>
          <w:sz w:val="18"/>
          <w:szCs w:val="18"/>
          <w:lang w:val="en-US"/>
        </w:rPr>
      </w:pPr>
      <w:r w:rsidRPr="00B16327">
        <w:rPr>
          <w:b/>
          <w:sz w:val="18"/>
          <w:szCs w:val="18"/>
          <w:lang w:val="en-US"/>
        </w:rPr>
        <w:t>References</w:t>
      </w:r>
    </w:p>
    <w:p w:rsidR="00EC10B2" w:rsidRDefault="00EC10B2" w:rsidP="00EC10B2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A. Ramanaviciene, A. Kausaite-Minkstimiene, A. Popov, B. Brasiunas, A. </w:t>
      </w:r>
      <w:r w:rsidRPr="00EC10B2">
        <w:rPr>
          <w:sz w:val="18"/>
          <w:szCs w:val="18"/>
          <w:lang w:val="en-US"/>
        </w:rPr>
        <w:t>Ramanavicius</w:t>
      </w:r>
      <w:r>
        <w:rPr>
          <w:sz w:val="18"/>
          <w:szCs w:val="18"/>
          <w:lang w:val="en-US"/>
        </w:rPr>
        <w:t>, Ed. B. Ozkan</w:t>
      </w:r>
      <w:r w:rsidRPr="00EC10B2">
        <w:rPr>
          <w:sz w:val="18"/>
          <w:szCs w:val="18"/>
          <w:lang w:val="en-US"/>
        </w:rPr>
        <w:t xml:space="preserve">, Bakirhan, Mollarasouli, </w:t>
      </w:r>
      <w:r>
        <w:rPr>
          <w:sz w:val="18"/>
          <w:szCs w:val="18"/>
          <w:lang w:val="en-US"/>
        </w:rPr>
        <w:t xml:space="preserve">Academic Press, </w:t>
      </w:r>
      <w:r w:rsidR="008413B5">
        <w:rPr>
          <w:sz w:val="18"/>
          <w:szCs w:val="18"/>
          <w:lang w:val="en-US"/>
        </w:rPr>
        <w:t>2022, p. 303.</w:t>
      </w:r>
    </w:p>
    <w:p w:rsidR="00EC10B2" w:rsidRPr="00F67E4B" w:rsidRDefault="00F67E4B" w:rsidP="0066708A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F67E4B">
        <w:rPr>
          <w:sz w:val="18"/>
          <w:szCs w:val="18"/>
          <w:lang w:val="en-US"/>
        </w:rPr>
        <w:t xml:space="preserve">J. Zhoua, Q. Qi, C. Wang, Y. Qian, G. Liu, Y. Wang, L. Fu, </w:t>
      </w:r>
      <w:r w:rsidR="0066708A" w:rsidRPr="0066708A">
        <w:rPr>
          <w:sz w:val="18"/>
          <w:szCs w:val="18"/>
          <w:lang w:val="en-US"/>
        </w:rPr>
        <w:t>Biosens. Bioelectron.</w:t>
      </w:r>
      <w:r w:rsidRPr="0066708A">
        <w:rPr>
          <w:sz w:val="18"/>
          <w:szCs w:val="18"/>
          <w:lang w:val="en-US"/>
        </w:rPr>
        <w:t>,</w:t>
      </w:r>
      <w:r w:rsidRPr="00F67E4B">
        <w:rPr>
          <w:sz w:val="18"/>
          <w:szCs w:val="18"/>
          <w:lang w:val="en-US"/>
        </w:rPr>
        <w:t xml:space="preserve"> </w:t>
      </w:r>
      <w:r w:rsidRPr="00F67E4B">
        <w:rPr>
          <w:b/>
          <w:sz w:val="18"/>
          <w:szCs w:val="18"/>
          <w:lang w:val="en-US"/>
        </w:rPr>
        <w:t>142</w:t>
      </w:r>
      <w:r w:rsidRPr="00F67E4B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(</w:t>
      </w:r>
      <w:r w:rsidRPr="00F67E4B">
        <w:rPr>
          <w:sz w:val="18"/>
          <w:szCs w:val="18"/>
          <w:lang w:val="en-US"/>
        </w:rPr>
        <w:t>2019</w:t>
      </w:r>
      <w:r>
        <w:rPr>
          <w:sz w:val="18"/>
          <w:szCs w:val="18"/>
          <w:lang w:val="en-US"/>
        </w:rPr>
        <w:t>)</w:t>
      </w:r>
      <w:r w:rsidRPr="00F67E4B">
        <w:rPr>
          <w:sz w:val="18"/>
          <w:szCs w:val="18"/>
          <w:lang w:val="en-US"/>
        </w:rPr>
        <w:t xml:space="preserve"> 111449</w:t>
      </w:r>
      <w:r>
        <w:rPr>
          <w:sz w:val="18"/>
          <w:szCs w:val="18"/>
          <w:lang w:val="en-US"/>
        </w:rPr>
        <w:t>.</w:t>
      </w:r>
    </w:p>
    <w:p w:rsidR="00EC10B2" w:rsidRDefault="0066708A" w:rsidP="0066708A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A. Kausaite-Minkstimiene, A. Popov, A.</w:t>
      </w:r>
      <w:r w:rsidRPr="0066708A">
        <w:rPr>
          <w:sz w:val="18"/>
          <w:szCs w:val="18"/>
          <w:lang w:val="en-US"/>
        </w:rPr>
        <w:t xml:space="preserve"> Ramanaviciene</w:t>
      </w:r>
      <w:r>
        <w:rPr>
          <w:sz w:val="18"/>
          <w:szCs w:val="18"/>
          <w:lang w:val="en-US"/>
        </w:rPr>
        <w:t xml:space="preserve">, </w:t>
      </w:r>
      <w:r w:rsidRPr="0066708A">
        <w:rPr>
          <w:sz w:val="18"/>
          <w:szCs w:val="18"/>
          <w:lang w:val="en-US"/>
        </w:rPr>
        <w:t>ACS Appl. Mater. Interfaces</w:t>
      </w:r>
      <w:r>
        <w:rPr>
          <w:sz w:val="18"/>
          <w:szCs w:val="18"/>
          <w:lang w:val="en-US"/>
        </w:rPr>
        <w:t xml:space="preserve">, </w:t>
      </w:r>
      <w:r w:rsidRPr="0066708A">
        <w:rPr>
          <w:b/>
          <w:sz w:val="18"/>
          <w:szCs w:val="18"/>
          <w:lang w:val="en-US"/>
        </w:rPr>
        <w:t xml:space="preserve">14 </w:t>
      </w:r>
      <w:r>
        <w:rPr>
          <w:sz w:val="18"/>
          <w:szCs w:val="18"/>
          <w:lang w:val="en-US"/>
        </w:rPr>
        <w:t>(2022) 20720-20728.</w:t>
      </w:r>
    </w:p>
    <w:p w:rsidR="0066708A" w:rsidRDefault="00B64E6F" w:rsidP="00B64E6F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J. </w:t>
      </w:r>
      <w:r w:rsidRPr="00B64E6F">
        <w:rPr>
          <w:sz w:val="18"/>
          <w:szCs w:val="18"/>
          <w:lang w:val="en-US"/>
        </w:rPr>
        <w:t>Qu</w:t>
      </w:r>
      <w:r>
        <w:rPr>
          <w:sz w:val="18"/>
          <w:szCs w:val="18"/>
          <w:lang w:val="en-US"/>
        </w:rPr>
        <w:t xml:space="preserve">, </w:t>
      </w:r>
      <w:r w:rsidRPr="00B64E6F">
        <w:rPr>
          <w:sz w:val="18"/>
          <w:szCs w:val="18"/>
          <w:lang w:val="en-US"/>
        </w:rPr>
        <w:t>A</w:t>
      </w:r>
      <w:r>
        <w:rPr>
          <w:sz w:val="18"/>
          <w:szCs w:val="18"/>
          <w:lang w:val="en-US"/>
        </w:rPr>
        <w:t xml:space="preserve">. </w:t>
      </w:r>
      <w:r w:rsidRPr="00B64E6F">
        <w:rPr>
          <w:sz w:val="18"/>
          <w:szCs w:val="18"/>
          <w:lang w:val="en-US"/>
        </w:rPr>
        <w:t>Dillen</w:t>
      </w:r>
      <w:r>
        <w:rPr>
          <w:sz w:val="18"/>
          <w:szCs w:val="18"/>
          <w:lang w:val="en-US"/>
        </w:rPr>
        <w:t xml:space="preserve">, </w:t>
      </w:r>
      <w:r w:rsidRPr="00B64E6F">
        <w:rPr>
          <w:sz w:val="18"/>
          <w:szCs w:val="18"/>
          <w:lang w:val="en-US"/>
        </w:rPr>
        <w:t>W</w:t>
      </w:r>
      <w:r>
        <w:rPr>
          <w:sz w:val="18"/>
          <w:szCs w:val="18"/>
          <w:lang w:val="en-US"/>
        </w:rPr>
        <w:t xml:space="preserve">. </w:t>
      </w:r>
      <w:r w:rsidRPr="00B64E6F">
        <w:rPr>
          <w:sz w:val="18"/>
          <w:szCs w:val="18"/>
          <w:lang w:val="en-US"/>
        </w:rPr>
        <w:t>Saeys</w:t>
      </w:r>
      <w:r>
        <w:rPr>
          <w:sz w:val="18"/>
          <w:szCs w:val="18"/>
          <w:lang w:val="en-US"/>
        </w:rPr>
        <w:t xml:space="preserve">, </w:t>
      </w:r>
      <w:r w:rsidRPr="00B64E6F">
        <w:rPr>
          <w:sz w:val="18"/>
          <w:szCs w:val="18"/>
          <w:lang w:val="en-US"/>
        </w:rPr>
        <w:t>J</w:t>
      </w:r>
      <w:r>
        <w:rPr>
          <w:sz w:val="18"/>
          <w:szCs w:val="18"/>
          <w:lang w:val="en-US"/>
        </w:rPr>
        <w:t xml:space="preserve">. </w:t>
      </w:r>
      <w:r w:rsidRPr="00B64E6F">
        <w:rPr>
          <w:sz w:val="18"/>
          <w:szCs w:val="18"/>
          <w:lang w:val="en-US"/>
        </w:rPr>
        <w:t>Lammertyn</w:t>
      </w:r>
      <w:r>
        <w:rPr>
          <w:sz w:val="18"/>
          <w:szCs w:val="18"/>
          <w:lang w:val="en-US"/>
        </w:rPr>
        <w:t xml:space="preserve">, </w:t>
      </w:r>
      <w:r w:rsidRPr="00B64E6F">
        <w:rPr>
          <w:sz w:val="18"/>
          <w:szCs w:val="18"/>
          <w:lang w:val="en-US"/>
        </w:rPr>
        <w:t>D</w:t>
      </w:r>
      <w:r>
        <w:rPr>
          <w:sz w:val="18"/>
          <w:szCs w:val="18"/>
          <w:lang w:val="en-US"/>
        </w:rPr>
        <w:t xml:space="preserve">. </w:t>
      </w:r>
      <w:r w:rsidRPr="00B64E6F">
        <w:rPr>
          <w:sz w:val="18"/>
          <w:szCs w:val="18"/>
          <w:lang w:val="en-US"/>
        </w:rPr>
        <w:t>Spasic</w:t>
      </w:r>
      <w:r>
        <w:rPr>
          <w:sz w:val="18"/>
          <w:szCs w:val="18"/>
          <w:lang w:val="en-US"/>
        </w:rPr>
        <w:t xml:space="preserve">, </w:t>
      </w:r>
      <w:r w:rsidRPr="00B64E6F">
        <w:rPr>
          <w:sz w:val="18"/>
          <w:szCs w:val="18"/>
          <w:lang w:val="en-US"/>
        </w:rPr>
        <w:t>Anal. Chim. Acta</w:t>
      </w:r>
      <w:r w:rsidR="0045173B">
        <w:rPr>
          <w:sz w:val="18"/>
          <w:szCs w:val="18"/>
          <w:lang w:val="en-US"/>
        </w:rPr>
        <w:t xml:space="preserve">, </w:t>
      </w:r>
      <w:r w:rsidR="0045173B" w:rsidRPr="0045173B">
        <w:rPr>
          <w:b/>
          <w:sz w:val="18"/>
          <w:szCs w:val="18"/>
          <w:lang w:val="en-US"/>
        </w:rPr>
        <w:t>1104</w:t>
      </w:r>
      <w:r w:rsidR="0045173B">
        <w:rPr>
          <w:sz w:val="18"/>
          <w:szCs w:val="18"/>
          <w:lang w:val="en-US"/>
        </w:rPr>
        <w:t xml:space="preserve"> (2020) 10-27.</w:t>
      </w:r>
    </w:p>
    <w:p w:rsidR="0066708A" w:rsidRPr="00DB30EA" w:rsidRDefault="00D8782D" w:rsidP="00DB30EA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D8782D">
        <w:rPr>
          <w:sz w:val="18"/>
          <w:szCs w:val="18"/>
          <w:lang w:val="en-US"/>
        </w:rPr>
        <w:t xml:space="preserve">F. Fathi, M. R. Rashidi, Y. Omidi, Talanta, </w:t>
      </w:r>
      <w:r w:rsidRPr="00D8782D">
        <w:rPr>
          <w:b/>
          <w:sz w:val="18"/>
          <w:szCs w:val="18"/>
          <w:lang w:val="en-US"/>
        </w:rPr>
        <w:t>192</w:t>
      </w:r>
      <w:r w:rsidRPr="00D8782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(</w:t>
      </w:r>
      <w:r w:rsidRPr="00D8782D">
        <w:rPr>
          <w:sz w:val="18"/>
          <w:szCs w:val="18"/>
          <w:lang w:val="en-US"/>
        </w:rPr>
        <w:t>2019</w:t>
      </w:r>
      <w:r>
        <w:rPr>
          <w:sz w:val="18"/>
          <w:szCs w:val="18"/>
          <w:lang w:val="en-US"/>
        </w:rPr>
        <w:t xml:space="preserve">) </w:t>
      </w:r>
      <w:r w:rsidRPr="00D8782D">
        <w:rPr>
          <w:sz w:val="18"/>
          <w:szCs w:val="18"/>
          <w:lang w:val="en-US"/>
        </w:rPr>
        <w:t>118−127.</w:t>
      </w:r>
    </w:p>
    <w:sectPr w:rsidR="0066708A" w:rsidRPr="00DB30EA" w:rsidSect="007252E6">
      <w:pgSz w:w="11906" w:h="16838" w:code="9"/>
      <w:pgMar w:top="1134" w:right="1134" w:bottom="1134" w:left="1701" w:header="562" w:footer="562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D31E1F"/>
    <w:multiLevelType w:val="hybridMultilevel"/>
    <w:tmpl w:val="4A10A3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173C"/>
    <w:multiLevelType w:val="multilevel"/>
    <w:tmpl w:val="2D1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2" w:hanging="360"/>
      </w:pPr>
    </w:lvl>
    <w:lvl w:ilvl="2" w:tplc="0427001B" w:tentative="1">
      <w:start w:val="1"/>
      <w:numFmt w:val="lowerRoman"/>
      <w:lvlText w:val="%3."/>
      <w:lvlJc w:val="right"/>
      <w:pPr>
        <w:ind w:left="3502" w:hanging="180"/>
      </w:pPr>
    </w:lvl>
    <w:lvl w:ilvl="3" w:tplc="0427000F" w:tentative="1">
      <w:start w:val="1"/>
      <w:numFmt w:val="decimal"/>
      <w:lvlText w:val="%4."/>
      <w:lvlJc w:val="left"/>
      <w:pPr>
        <w:ind w:left="4222" w:hanging="360"/>
      </w:pPr>
    </w:lvl>
    <w:lvl w:ilvl="4" w:tplc="04270019" w:tentative="1">
      <w:start w:val="1"/>
      <w:numFmt w:val="lowerLetter"/>
      <w:lvlText w:val="%5."/>
      <w:lvlJc w:val="left"/>
      <w:pPr>
        <w:ind w:left="4942" w:hanging="360"/>
      </w:pPr>
    </w:lvl>
    <w:lvl w:ilvl="5" w:tplc="0427001B" w:tentative="1">
      <w:start w:val="1"/>
      <w:numFmt w:val="lowerRoman"/>
      <w:lvlText w:val="%6."/>
      <w:lvlJc w:val="right"/>
      <w:pPr>
        <w:ind w:left="5662" w:hanging="180"/>
      </w:pPr>
    </w:lvl>
    <w:lvl w:ilvl="6" w:tplc="0427000F" w:tentative="1">
      <w:start w:val="1"/>
      <w:numFmt w:val="decimal"/>
      <w:lvlText w:val="%7."/>
      <w:lvlJc w:val="left"/>
      <w:pPr>
        <w:ind w:left="6382" w:hanging="360"/>
      </w:pPr>
    </w:lvl>
    <w:lvl w:ilvl="7" w:tplc="04270019" w:tentative="1">
      <w:start w:val="1"/>
      <w:numFmt w:val="lowerLetter"/>
      <w:lvlText w:val="%8."/>
      <w:lvlJc w:val="left"/>
      <w:pPr>
        <w:ind w:left="7102" w:hanging="360"/>
      </w:pPr>
    </w:lvl>
    <w:lvl w:ilvl="8" w:tplc="0427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9"/>
    <w:rsid w:val="00006AE2"/>
    <w:rsid w:val="00053A2C"/>
    <w:rsid w:val="00183A93"/>
    <w:rsid w:val="001B04C1"/>
    <w:rsid w:val="00216640"/>
    <w:rsid w:val="00254F67"/>
    <w:rsid w:val="00257DE8"/>
    <w:rsid w:val="002B0165"/>
    <w:rsid w:val="002E3E1D"/>
    <w:rsid w:val="0045173B"/>
    <w:rsid w:val="004A1E19"/>
    <w:rsid w:val="004A7385"/>
    <w:rsid w:val="004D7AE6"/>
    <w:rsid w:val="005427AB"/>
    <w:rsid w:val="00574CF3"/>
    <w:rsid w:val="005A4066"/>
    <w:rsid w:val="006343C0"/>
    <w:rsid w:val="0066708A"/>
    <w:rsid w:val="0067072F"/>
    <w:rsid w:val="00696307"/>
    <w:rsid w:val="007252E6"/>
    <w:rsid w:val="00726546"/>
    <w:rsid w:val="00786654"/>
    <w:rsid w:val="00790B01"/>
    <w:rsid w:val="008413B5"/>
    <w:rsid w:val="00867ED4"/>
    <w:rsid w:val="00962D8B"/>
    <w:rsid w:val="009E42F6"/>
    <w:rsid w:val="00A4751C"/>
    <w:rsid w:val="00AA7C75"/>
    <w:rsid w:val="00AF3BF8"/>
    <w:rsid w:val="00B16327"/>
    <w:rsid w:val="00B1638C"/>
    <w:rsid w:val="00B24C8B"/>
    <w:rsid w:val="00B26DE5"/>
    <w:rsid w:val="00B64E6F"/>
    <w:rsid w:val="00B65081"/>
    <w:rsid w:val="00B97051"/>
    <w:rsid w:val="00D4096A"/>
    <w:rsid w:val="00D85664"/>
    <w:rsid w:val="00D8782D"/>
    <w:rsid w:val="00DB30EA"/>
    <w:rsid w:val="00DD3479"/>
    <w:rsid w:val="00E51B09"/>
    <w:rsid w:val="00E86343"/>
    <w:rsid w:val="00EA0529"/>
    <w:rsid w:val="00EC10B2"/>
    <w:rsid w:val="00F56B91"/>
    <w:rsid w:val="00F57D2E"/>
    <w:rsid w:val="00F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A92EA-673A-4BFE-8C4A-1D8BE314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406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m@chgf.v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9F71-4AEF-42F3-969F-47E249EF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2760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mailto:fim@chgf.vu.lt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Anton Popov</cp:lastModifiedBy>
  <cp:revision>2</cp:revision>
  <cp:lastPrinted>2003-04-09T07:04:00Z</cp:lastPrinted>
  <dcterms:created xsi:type="dcterms:W3CDTF">2022-08-31T19:22:00Z</dcterms:created>
  <dcterms:modified xsi:type="dcterms:W3CDTF">2022-08-31T19:22:00Z</dcterms:modified>
</cp:coreProperties>
</file>