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E6" w:rsidRPr="00857F29" w:rsidRDefault="007C6F06" w:rsidP="007252E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Inorganic CsPbX</w:t>
      </w:r>
      <w:r w:rsidRPr="007C6F06">
        <w:rPr>
          <w:b/>
          <w:sz w:val="28"/>
          <w:szCs w:val="28"/>
          <w:vertAlign w:val="subscript"/>
          <w:lang w:val="en-GB"/>
        </w:rPr>
        <w:t>3</w:t>
      </w:r>
      <w:r>
        <w:rPr>
          <w:b/>
          <w:sz w:val="28"/>
          <w:szCs w:val="28"/>
          <w:lang w:val="en-GB"/>
        </w:rPr>
        <w:t xml:space="preserve"> (X = Cl, Br, I) Perovskite Quantum Dots: Synthesis, Properties, and Applications</w:t>
      </w:r>
    </w:p>
    <w:p w:rsidR="00053A2C" w:rsidRPr="007252E6" w:rsidRDefault="00053A2C" w:rsidP="006343C0">
      <w:pPr>
        <w:jc w:val="center"/>
        <w:rPr>
          <w:b/>
          <w:lang w:val="en-GB"/>
        </w:rPr>
      </w:pPr>
    </w:p>
    <w:p w:rsidR="00053A2C" w:rsidRPr="007252E6" w:rsidRDefault="007C6F06" w:rsidP="00053A2C">
      <w:pPr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="00053A2C" w:rsidRPr="004A1E19">
        <w:rPr>
          <w:b/>
          <w:lang w:val="en-US"/>
        </w:rPr>
        <w:t xml:space="preserve">. </w:t>
      </w:r>
      <w:proofErr w:type="spellStart"/>
      <w:r w:rsidR="00A16329">
        <w:rPr>
          <w:b/>
          <w:lang w:val="en-US"/>
        </w:rPr>
        <w:t>Klimkevi</w:t>
      </w:r>
      <w:proofErr w:type="spellEnd"/>
      <w:r w:rsidR="00A16329">
        <w:rPr>
          <w:b/>
          <w:lang w:val="lt-LT"/>
        </w:rPr>
        <w:t>č</w:t>
      </w:r>
      <w:r>
        <w:rPr>
          <w:b/>
          <w:lang w:val="en-US"/>
        </w:rPr>
        <w:t>ius</w:t>
      </w:r>
      <w:r w:rsidR="00696307" w:rsidRPr="004A1E19">
        <w:rPr>
          <w:b/>
          <w:vertAlign w:val="superscript"/>
          <w:lang w:val="en-US"/>
        </w:rPr>
        <w:t>1</w:t>
      </w:r>
      <w:r w:rsidR="004A1E19">
        <w:rPr>
          <w:b/>
          <w:lang w:val="en-US"/>
        </w:rPr>
        <w:t xml:space="preserve">, </w:t>
      </w:r>
      <w:r>
        <w:rPr>
          <w:b/>
          <w:lang w:val="en-US"/>
        </w:rPr>
        <w:t>M</w:t>
      </w:r>
      <w:r w:rsidR="004A1E19">
        <w:rPr>
          <w:b/>
          <w:lang w:val="en-US"/>
        </w:rPr>
        <w:t xml:space="preserve">. </w:t>
      </w:r>
      <w:r w:rsidR="00A16329">
        <w:rPr>
          <w:b/>
          <w:lang w:val="en-US"/>
        </w:rPr>
        <w:t>Steponavičiū</w:t>
      </w:r>
      <w:r>
        <w:rPr>
          <w:b/>
          <w:lang w:val="en-US"/>
        </w:rPr>
        <w:t>t</w:t>
      </w:r>
      <w:r w:rsidR="00A16329">
        <w:rPr>
          <w:b/>
          <w:lang w:val="en-US"/>
        </w:rPr>
        <w:t>ė</w:t>
      </w:r>
      <w:r>
        <w:rPr>
          <w:b/>
          <w:vertAlign w:val="superscript"/>
          <w:lang w:val="en-US"/>
        </w:rPr>
        <w:t>1</w:t>
      </w:r>
      <w:r w:rsidR="004A1E19">
        <w:rPr>
          <w:b/>
          <w:lang w:val="en-US"/>
        </w:rPr>
        <w:t xml:space="preserve">, </w:t>
      </w:r>
      <w:r w:rsidR="00A16329">
        <w:rPr>
          <w:b/>
          <w:lang w:val="en-US"/>
        </w:rPr>
        <w:t>E. Ežerskytė</w:t>
      </w:r>
      <w:r w:rsidR="00A16329" w:rsidRPr="00A16329">
        <w:rPr>
          <w:b/>
          <w:vertAlign w:val="superscript"/>
          <w:lang w:val="en-US"/>
        </w:rPr>
        <w:t>1</w:t>
      </w:r>
      <w:r w:rsidR="00A16329">
        <w:rPr>
          <w:b/>
          <w:lang w:val="en-US"/>
        </w:rPr>
        <w:t xml:space="preserve">, </w:t>
      </w:r>
      <w:r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>
        <w:rPr>
          <w:b/>
          <w:lang w:val="en-US"/>
        </w:rPr>
        <w:t>Katelnikovas</w:t>
      </w:r>
      <w:proofErr w:type="gramStart"/>
      <w:r>
        <w:rPr>
          <w:b/>
          <w:vertAlign w:val="superscript"/>
          <w:lang w:val="en-US"/>
        </w:rPr>
        <w:t>1,*</w:t>
      </w:r>
      <w:proofErr w:type="gramEnd"/>
    </w:p>
    <w:p w:rsidR="00053A2C" w:rsidRPr="007252E6" w:rsidRDefault="00696307" w:rsidP="004A1E19">
      <w:pPr>
        <w:jc w:val="center"/>
        <w:rPr>
          <w:i/>
          <w:sz w:val="20"/>
          <w:szCs w:val="20"/>
          <w:lang w:val="en-US"/>
        </w:rPr>
      </w:pPr>
      <w:r w:rsidRPr="007252E6">
        <w:rPr>
          <w:i/>
          <w:sz w:val="20"/>
          <w:szCs w:val="20"/>
          <w:vertAlign w:val="superscript"/>
          <w:lang w:val="en-US"/>
        </w:rPr>
        <w:t>1</w:t>
      </w:r>
      <w:r w:rsidR="007C6F06">
        <w:rPr>
          <w:i/>
          <w:sz w:val="20"/>
          <w:szCs w:val="20"/>
          <w:lang w:val="en-US"/>
        </w:rPr>
        <w:t>Institute of Chemistry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r w:rsidR="007C6F06">
        <w:rPr>
          <w:i/>
          <w:sz w:val="20"/>
          <w:szCs w:val="20"/>
          <w:lang w:val="en-US"/>
        </w:rPr>
        <w:t>Vilnius University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proofErr w:type="spellStart"/>
      <w:r w:rsidR="007C6F06">
        <w:rPr>
          <w:i/>
          <w:sz w:val="20"/>
          <w:szCs w:val="20"/>
          <w:lang w:val="en-US"/>
        </w:rPr>
        <w:t>Naugarduko</w:t>
      </w:r>
      <w:proofErr w:type="spellEnd"/>
      <w:r w:rsidR="007C6F06">
        <w:rPr>
          <w:i/>
          <w:sz w:val="20"/>
          <w:szCs w:val="20"/>
          <w:lang w:val="en-US"/>
        </w:rPr>
        <w:t xml:space="preserve"> 24, LT-03225 Vilnius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r w:rsidR="007C6F06">
        <w:rPr>
          <w:i/>
          <w:sz w:val="20"/>
          <w:szCs w:val="20"/>
          <w:lang w:val="en-US"/>
        </w:rPr>
        <w:t>Lithuania</w:t>
      </w:r>
    </w:p>
    <w:p w:rsidR="00867ED4" w:rsidRPr="007252E6" w:rsidRDefault="004A1E19" w:rsidP="004A1E19">
      <w:pPr>
        <w:ind w:left="720"/>
        <w:jc w:val="center"/>
        <w:rPr>
          <w:i/>
          <w:sz w:val="20"/>
          <w:szCs w:val="20"/>
          <w:lang w:val="en-US"/>
        </w:rPr>
      </w:pPr>
      <w:r w:rsidRPr="007252E6">
        <w:rPr>
          <w:sz w:val="20"/>
          <w:szCs w:val="20"/>
          <w:lang w:val="en-US"/>
        </w:rPr>
        <w:t>*</w:t>
      </w:r>
      <w:r w:rsidRPr="007252E6">
        <w:rPr>
          <w:i/>
          <w:sz w:val="20"/>
          <w:szCs w:val="20"/>
          <w:lang w:val="en-US"/>
        </w:rPr>
        <w:t>Corresponding author, e</w:t>
      </w:r>
      <w:r w:rsidR="00053A2C" w:rsidRPr="007252E6">
        <w:rPr>
          <w:i/>
          <w:sz w:val="20"/>
          <w:szCs w:val="20"/>
          <w:lang w:val="en-US"/>
        </w:rPr>
        <w:t>-mail:</w:t>
      </w:r>
      <w:r w:rsidR="007C6F06">
        <w:rPr>
          <w:i/>
          <w:sz w:val="20"/>
          <w:szCs w:val="20"/>
          <w:lang w:val="en-US"/>
        </w:rPr>
        <w:t xml:space="preserve"> arturas.katelnikovas@chf.vu.lt</w:t>
      </w:r>
    </w:p>
    <w:p w:rsidR="007252E6" w:rsidRPr="005A4066" w:rsidRDefault="007252E6" w:rsidP="00B1632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16329" w:rsidRDefault="00A16329" w:rsidP="007252E6">
      <w:pPr>
        <w:autoSpaceDE w:val="0"/>
        <w:autoSpaceDN w:val="0"/>
        <w:adjustRightInd w:val="0"/>
        <w:ind w:firstLine="360"/>
        <w:rPr>
          <w:bCs/>
          <w:sz w:val="22"/>
          <w:szCs w:val="22"/>
          <w:lang w:val="en-US"/>
        </w:rPr>
      </w:pPr>
      <w:r w:rsidRPr="00A16329">
        <w:rPr>
          <w:bCs/>
          <w:sz w:val="22"/>
          <w:szCs w:val="22"/>
          <w:lang w:val="en-US"/>
        </w:rPr>
        <w:t xml:space="preserve">All-inorganic perovskite quantum dots (QDs), due to their outstanding power conversion efficiency, </w:t>
      </w:r>
      <w:r w:rsidR="00A23896" w:rsidRPr="00A16329">
        <w:rPr>
          <w:bCs/>
          <w:sz w:val="22"/>
          <w:szCs w:val="22"/>
          <w:lang w:val="en-US"/>
        </w:rPr>
        <w:t>strong absorption</w:t>
      </w:r>
      <w:r w:rsidR="00A23896">
        <w:rPr>
          <w:bCs/>
          <w:sz w:val="22"/>
          <w:szCs w:val="22"/>
          <w:lang w:val="en-US"/>
        </w:rPr>
        <w:t>, and</w:t>
      </w:r>
      <w:r w:rsidR="00A23896" w:rsidRPr="00A16329">
        <w:rPr>
          <w:bCs/>
          <w:sz w:val="22"/>
          <w:szCs w:val="22"/>
          <w:lang w:val="en-US"/>
        </w:rPr>
        <w:t xml:space="preserve"> </w:t>
      </w:r>
      <w:r w:rsidRPr="00A16329">
        <w:rPr>
          <w:bCs/>
          <w:sz w:val="22"/>
          <w:szCs w:val="22"/>
          <w:lang w:val="en-US"/>
        </w:rPr>
        <w:t>narro</w:t>
      </w:r>
      <w:r w:rsidR="00A23896">
        <w:rPr>
          <w:bCs/>
          <w:sz w:val="22"/>
          <w:szCs w:val="22"/>
          <w:lang w:val="en-US"/>
        </w:rPr>
        <w:t>w and tunable emission band</w:t>
      </w:r>
      <w:r w:rsidRPr="00A16329">
        <w:rPr>
          <w:bCs/>
          <w:sz w:val="22"/>
          <w:szCs w:val="22"/>
          <w:lang w:val="en-US"/>
        </w:rPr>
        <w:t xml:space="preserve">, have already found applications in LEDs, solar cells, photodetectors, etc. </w:t>
      </w:r>
      <w:r w:rsidR="00046938" w:rsidRPr="00046938">
        <w:rPr>
          <w:bCs/>
          <w:sz w:val="22"/>
          <w:szCs w:val="22"/>
          <w:lang w:val="en-US"/>
        </w:rPr>
        <w:t>In the past decade, there have been thousands of publications dedicated to the perovskite QDs structure-property relationship and their application in various optoelectronic fields</w:t>
      </w:r>
      <w:r w:rsidR="006E05C8">
        <w:rPr>
          <w:bCs/>
          <w:sz w:val="22"/>
          <w:szCs w:val="22"/>
          <w:lang w:val="en-US"/>
        </w:rPr>
        <w:t xml:space="preserve"> [1,2]</w:t>
      </w:r>
      <w:r w:rsidR="00046938" w:rsidRPr="00046938">
        <w:rPr>
          <w:bCs/>
          <w:sz w:val="22"/>
          <w:szCs w:val="22"/>
          <w:lang w:val="en-US"/>
        </w:rPr>
        <w:t>. The first inorganic lead perovskite QDs synthesis employing the hot-injection method was reported</w:t>
      </w:r>
      <w:r w:rsidR="00A23896">
        <w:rPr>
          <w:bCs/>
          <w:sz w:val="22"/>
          <w:szCs w:val="22"/>
          <w:lang w:val="en-US"/>
        </w:rPr>
        <w:t xml:space="preserve"> by </w:t>
      </w:r>
      <w:proofErr w:type="spellStart"/>
      <w:r w:rsidR="00A23896">
        <w:rPr>
          <w:bCs/>
          <w:sz w:val="22"/>
          <w:szCs w:val="22"/>
          <w:lang w:val="en-US"/>
        </w:rPr>
        <w:t>Kovalenko</w:t>
      </w:r>
      <w:proofErr w:type="spellEnd"/>
      <w:r w:rsidR="00A23896">
        <w:rPr>
          <w:bCs/>
          <w:sz w:val="22"/>
          <w:szCs w:val="22"/>
          <w:lang w:val="en-US"/>
        </w:rPr>
        <w:t xml:space="preserve"> et al.</w:t>
      </w:r>
      <w:r w:rsidR="00046938" w:rsidRPr="00046938">
        <w:rPr>
          <w:bCs/>
          <w:sz w:val="22"/>
          <w:szCs w:val="22"/>
          <w:lang w:val="en-US"/>
        </w:rPr>
        <w:t xml:space="preserve"> in 2015</w:t>
      </w:r>
      <w:r w:rsidR="006E05C8">
        <w:rPr>
          <w:bCs/>
          <w:sz w:val="22"/>
          <w:szCs w:val="22"/>
          <w:lang w:val="en-US"/>
        </w:rPr>
        <w:t xml:space="preserve"> [3]</w:t>
      </w:r>
      <w:r w:rsidR="00046938" w:rsidRPr="00046938">
        <w:rPr>
          <w:bCs/>
          <w:sz w:val="22"/>
          <w:szCs w:val="22"/>
          <w:lang w:val="en-US"/>
        </w:rPr>
        <w:t>. Since then</w:t>
      </w:r>
      <w:r w:rsidR="00A23896">
        <w:rPr>
          <w:bCs/>
          <w:sz w:val="22"/>
          <w:szCs w:val="22"/>
          <w:lang w:val="en-US"/>
        </w:rPr>
        <w:t>,</w:t>
      </w:r>
      <w:r w:rsidR="00046938" w:rsidRPr="00046938">
        <w:rPr>
          <w:bCs/>
          <w:sz w:val="22"/>
          <w:szCs w:val="22"/>
          <w:lang w:val="en-US"/>
        </w:rPr>
        <w:t xml:space="preserve"> the demand for novel, easier, and faster perovskite QDs synthesis methods has gradually increased. </w:t>
      </w:r>
      <w:r w:rsidRPr="00A16329">
        <w:rPr>
          <w:bCs/>
          <w:sz w:val="22"/>
          <w:szCs w:val="22"/>
          <w:lang w:val="en-US"/>
        </w:rPr>
        <w:t>Thus, simple, easy, and highly reproducible lead perovskite QDs synthesis routes are very desirable. This study presents a novel approach to obtain perovskite QDs. The crucial synthesis parameters, such as temperature, isolation conditions, or optical density</w:t>
      </w:r>
      <w:r w:rsidR="00A23896">
        <w:rPr>
          <w:bCs/>
          <w:sz w:val="22"/>
          <w:szCs w:val="22"/>
          <w:lang w:val="en-US"/>
        </w:rPr>
        <w:t>,</w:t>
      </w:r>
      <w:r w:rsidRPr="00A16329">
        <w:rPr>
          <w:bCs/>
          <w:sz w:val="22"/>
          <w:szCs w:val="22"/>
          <w:lang w:val="en-US"/>
        </w:rPr>
        <w:t xml:space="preserve"> on th</w:t>
      </w:r>
      <w:r w:rsidR="00A23896">
        <w:rPr>
          <w:bCs/>
          <w:sz w:val="22"/>
          <w:szCs w:val="22"/>
          <w:lang w:val="en-US"/>
        </w:rPr>
        <w:t>e changes in optical properties</w:t>
      </w:r>
      <w:r w:rsidRPr="00A16329">
        <w:rPr>
          <w:bCs/>
          <w:sz w:val="22"/>
          <w:szCs w:val="22"/>
          <w:lang w:val="en-US"/>
        </w:rPr>
        <w:t xml:space="preserve"> were </w:t>
      </w:r>
      <w:r w:rsidR="00D77DB0">
        <w:rPr>
          <w:bCs/>
          <w:sz w:val="22"/>
          <w:szCs w:val="22"/>
          <w:lang w:val="en-US"/>
        </w:rPr>
        <w:t>investigated in detail</w:t>
      </w:r>
      <w:r w:rsidRPr="00A16329">
        <w:rPr>
          <w:bCs/>
          <w:sz w:val="22"/>
          <w:szCs w:val="22"/>
          <w:lang w:val="en-US"/>
        </w:rPr>
        <w:t>. The detailed verification of different parameters showed that the propose</w:t>
      </w:r>
      <w:bookmarkStart w:id="0" w:name="_GoBack"/>
      <w:bookmarkEnd w:id="0"/>
      <w:r w:rsidRPr="00A16329">
        <w:rPr>
          <w:bCs/>
          <w:sz w:val="22"/>
          <w:szCs w:val="22"/>
          <w:lang w:val="en-US"/>
        </w:rPr>
        <w:t>d ultrasound-induced synthesis method (see Figure 1) is superior to the conventional hot-injection met</w:t>
      </w:r>
      <w:r>
        <w:rPr>
          <w:bCs/>
          <w:sz w:val="22"/>
          <w:szCs w:val="22"/>
          <w:lang w:val="en-US"/>
        </w:rPr>
        <w:t>hod since it offers not only</w:t>
      </w:r>
      <w:r w:rsidRPr="00A16329">
        <w:rPr>
          <w:bCs/>
          <w:sz w:val="22"/>
          <w:szCs w:val="22"/>
          <w:lang w:val="en-US"/>
        </w:rPr>
        <w:t xml:space="preserve"> higher reproducibility but also a significantly shorter synthesis time, i.e., from several hours via the traditional hot-injection method to merely 20-30 minutes by our proposed method.</w:t>
      </w:r>
    </w:p>
    <w:p w:rsidR="00D77DB0" w:rsidRDefault="00D77DB0" w:rsidP="007252E6">
      <w:pPr>
        <w:autoSpaceDE w:val="0"/>
        <w:autoSpaceDN w:val="0"/>
        <w:adjustRightInd w:val="0"/>
        <w:ind w:firstLine="360"/>
        <w:rPr>
          <w:bCs/>
          <w:sz w:val="22"/>
          <w:szCs w:val="22"/>
          <w:lang w:val="en-US"/>
        </w:rPr>
      </w:pPr>
    </w:p>
    <w:p w:rsidR="00A16329" w:rsidRDefault="00F429B4" w:rsidP="00A16329">
      <w:pPr>
        <w:autoSpaceDE w:val="0"/>
        <w:autoSpaceDN w:val="0"/>
        <w:adjustRightInd w:val="0"/>
        <w:jc w:val="center"/>
        <w:rPr>
          <w:b/>
          <w:noProof/>
          <w:lang w:val="en-US" w:eastAsia="en-US"/>
        </w:rPr>
      </w:pPr>
      <w:r w:rsidRPr="00A16329">
        <w:rPr>
          <w:b/>
          <w:noProof/>
          <w:lang w:val="en-US" w:eastAsia="en-US"/>
        </w:rPr>
        <w:drawing>
          <wp:inline distT="0" distB="0" distL="0" distR="0">
            <wp:extent cx="4281170" cy="3021965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29" w:rsidRDefault="00A16329" w:rsidP="00A16329">
      <w:pPr>
        <w:autoSpaceDE w:val="0"/>
        <w:autoSpaceDN w:val="0"/>
        <w:adjustRightInd w:val="0"/>
        <w:ind w:firstLine="360"/>
        <w:jc w:val="center"/>
        <w:rPr>
          <w:bCs/>
          <w:sz w:val="22"/>
          <w:szCs w:val="22"/>
          <w:lang w:val="en-US"/>
        </w:rPr>
      </w:pPr>
      <w:r w:rsidRPr="00A16329">
        <w:rPr>
          <w:b/>
          <w:sz w:val="22"/>
          <w:szCs w:val="22"/>
          <w:lang w:val="en-US"/>
        </w:rPr>
        <w:t>Fig. 1.</w:t>
      </w:r>
      <w:r w:rsidRPr="00A16329">
        <w:rPr>
          <w:bCs/>
          <w:sz w:val="22"/>
          <w:szCs w:val="22"/>
          <w:lang w:val="en-US"/>
        </w:rPr>
        <w:t xml:space="preserve"> Graphical illustration of the ultrasound-induced synthesis of all-inorganic lead perovskite QDs (a); TEM image of the obtained CsPbBr</w:t>
      </w:r>
      <w:r w:rsidRPr="00A16329">
        <w:rPr>
          <w:bCs/>
          <w:sz w:val="22"/>
          <w:szCs w:val="22"/>
          <w:vertAlign w:val="subscript"/>
          <w:lang w:val="en-US"/>
        </w:rPr>
        <w:t>3</w:t>
      </w:r>
      <w:r w:rsidRPr="00A16329">
        <w:rPr>
          <w:bCs/>
          <w:sz w:val="22"/>
          <w:szCs w:val="22"/>
          <w:lang w:val="en-US"/>
        </w:rPr>
        <w:t xml:space="preserve"> QDs (b); </w:t>
      </w:r>
      <w:bookmarkStart w:id="1" w:name="_Hlk88546703"/>
      <w:r w:rsidRPr="00A16329">
        <w:rPr>
          <w:bCs/>
          <w:sz w:val="22"/>
          <w:szCs w:val="22"/>
          <w:lang w:val="en-US"/>
        </w:rPr>
        <w:t>PL emission spectra (c) and emission color gamut of CsPbX</w:t>
      </w:r>
      <w:r w:rsidRPr="00A16329">
        <w:rPr>
          <w:bCs/>
          <w:sz w:val="22"/>
          <w:szCs w:val="22"/>
          <w:vertAlign w:val="subscript"/>
          <w:lang w:val="en-US"/>
        </w:rPr>
        <w:t>3</w:t>
      </w:r>
      <w:r w:rsidRPr="00A16329">
        <w:rPr>
          <w:bCs/>
          <w:sz w:val="22"/>
          <w:szCs w:val="22"/>
          <w:lang w:val="en-US"/>
        </w:rPr>
        <w:t xml:space="preserve"> QDs with various compositions (</w:t>
      </w:r>
      <w:proofErr w:type="spellStart"/>
      <w:r w:rsidRPr="00A16329">
        <w:rPr>
          <w:bCs/>
          <w:sz w:val="22"/>
          <w:szCs w:val="22"/>
          <w:lang w:val="en-US"/>
        </w:rPr>
        <w:t>λ</w:t>
      </w:r>
      <w:r w:rsidRPr="00A16329">
        <w:rPr>
          <w:bCs/>
          <w:sz w:val="22"/>
          <w:szCs w:val="22"/>
          <w:vertAlign w:val="subscript"/>
          <w:lang w:val="en-US"/>
        </w:rPr>
        <w:t>ex</w:t>
      </w:r>
      <w:proofErr w:type="spellEnd"/>
      <w:r w:rsidRPr="00A16329">
        <w:rPr>
          <w:bCs/>
          <w:sz w:val="22"/>
          <w:szCs w:val="22"/>
          <w:lang w:val="en-US"/>
        </w:rPr>
        <w:t> = 365 nm) (d).</w:t>
      </w:r>
      <w:bookmarkEnd w:id="1"/>
    </w:p>
    <w:p w:rsidR="00A16329" w:rsidRDefault="00A16329" w:rsidP="00A16329">
      <w:pPr>
        <w:autoSpaceDE w:val="0"/>
        <w:autoSpaceDN w:val="0"/>
        <w:adjustRightInd w:val="0"/>
        <w:ind w:firstLine="360"/>
        <w:jc w:val="center"/>
        <w:rPr>
          <w:sz w:val="22"/>
          <w:szCs w:val="22"/>
          <w:lang w:val="en-US"/>
        </w:rPr>
      </w:pPr>
    </w:p>
    <w:p w:rsidR="007252E6" w:rsidRPr="00E82FD3" w:rsidRDefault="007252E6" w:rsidP="007252E6">
      <w:pPr>
        <w:autoSpaceDE w:val="0"/>
        <w:autoSpaceDN w:val="0"/>
        <w:adjustRightInd w:val="0"/>
        <w:jc w:val="center"/>
        <w:rPr>
          <w:sz w:val="22"/>
          <w:szCs w:val="22"/>
          <w:lang w:val="en"/>
        </w:rPr>
      </w:pPr>
    </w:p>
    <w:p w:rsidR="007252E6" w:rsidRPr="00E82FD3" w:rsidRDefault="007252E6" w:rsidP="007252E6">
      <w:pPr>
        <w:autoSpaceDE w:val="0"/>
        <w:autoSpaceDN w:val="0"/>
        <w:adjustRightInd w:val="0"/>
        <w:spacing w:after="60"/>
        <w:jc w:val="center"/>
        <w:rPr>
          <w:color w:val="231F20"/>
          <w:sz w:val="22"/>
          <w:szCs w:val="22"/>
          <w:lang w:val="en"/>
        </w:rPr>
      </w:pPr>
    </w:p>
    <w:p w:rsidR="007252E6" w:rsidRDefault="00F429B4" w:rsidP="00F429B4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  <w:r w:rsidRPr="00F429B4">
        <w:rPr>
          <w:b/>
          <w:bCs/>
          <w:color w:val="231F20"/>
          <w:sz w:val="22"/>
          <w:szCs w:val="22"/>
          <w:lang w:val="en-US"/>
        </w:rPr>
        <w:t xml:space="preserve">Acknowledgement. </w:t>
      </w:r>
      <w:r w:rsidRPr="00F429B4">
        <w:rPr>
          <w:bCs/>
          <w:color w:val="231F20"/>
          <w:sz w:val="22"/>
          <w:szCs w:val="22"/>
          <w:lang w:val="en-US"/>
        </w:rPr>
        <w:t>The authors acknowledge financial support from the European Regional Development Fund (project No 01.2.2-LMT-K-718-03-0048) under a grant agreement with the Research Council of Lithuania (LMTLT).</w:t>
      </w:r>
    </w:p>
    <w:p w:rsidR="007252E6" w:rsidRPr="005A4066" w:rsidRDefault="007252E6" w:rsidP="007252E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D4096A" w:rsidRPr="00B16327" w:rsidRDefault="00D4096A" w:rsidP="00D4096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:rsidR="00D4096A" w:rsidRPr="00B16327" w:rsidRDefault="006E05C8" w:rsidP="00D4096A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M.B. Faheem, B. Khan, C. Feng, M.U. Farooq, F. </w:t>
      </w:r>
      <w:proofErr w:type="spellStart"/>
      <w:r>
        <w:rPr>
          <w:sz w:val="18"/>
          <w:szCs w:val="18"/>
          <w:lang w:val="en-US"/>
        </w:rPr>
        <w:t>Raziq</w:t>
      </w:r>
      <w:proofErr w:type="spellEnd"/>
      <w:r>
        <w:rPr>
          <w:sz w:val="18"/>
          <w:szCs w:val="18"/>
          <w:lang w:val="en-US"/>
        </w:rPr>
        <w:t>, Y.Q. Xiao, Y.B. Li, ACS Energy Lett.</w:t>
      </w:r>
      <w:r w:rsidR="00D4096A" w:rsidRPr="00B16327">
        <w:rPr>
          <w:sz w:val="18"/>
          <w:szCs w:val="18"/>
          <w:lang w:val="en-US"/>
        </w:rPr>
        <w:t xml:space="preserve">, </w:t>
      </w:r>
      <w:r>
        <w:rPr>
          <w:b/>
          <w:sz w:val="18"/>
          <w:szCs w:val="18"/>
          <w:lang w:val="en-US"/>
        </w:rPr>
        <w:t>5</w:t>
      </w:r>
      <w:r w:rsidR="00D4096A" w:rsidRPr="00B16327">
        <w:rPr>
          <w:b/>
          <w:sz w:val="18"/>
          <w:szCs w:val="18"/>
          <w:lang w:val="en-US"/>
        </w:rPr>
        <w:t xml:space="preserve"> </w:t>
      </w:r>
      <w:r w:rsidR="00D4096A" w:rsidRPr="00B16327">
        <w:rPr>
          <w:sz w:val="18"/>
          <w:szCs w:val="18"/>
          <w:lang w:val="en-US"/>
        </w:rPr>
        <w:t>(20</w:t>
      </w:r>
      <w:r>
        <w:rPr>
          <w:sz w:val="18"/>
          <w:szCs w:val="18"/>
          <w:lang w:val="en-US"/>
        </w:rPr>
        <w:t>20</w:t>
      </w:r>
      <w:r w:rsidR="00D4096A" w:rsidRPr="00B16327">
        <w:rPr>
          <w:sz w:val="18"/>
          <w:szCs w:val="18"/>
          <w:lang w:val="en-US"/>
        </w:rPr>
        <w:t xml:space="preserve">) </w:t>
      </w:r>
      <w:r>
        <w:rPr>
          <w:sz w:val="18"/>
          <w:szCs w:val="18"/>
          <w:lang w:val="en-US"/>
        </w:rPr>
        <w:t>290-320</w:t>
      </w:r>
      <w:r w:rsidR="00D4096A" w:rsidRPr="00B16327">
        <w:rPr>
          <w:sz w:val="18"/>
          <w:szCs w:val="18"/>
          <w:lang w:val="en-US"/>
        </w:rPr>
        <w:t>.</w:t>
      </w:r>
    </w:p>
    <w:p w:rsidR="006E05C8" w:rsidRDefault="006E05C8" w:rsidP="006E05C8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W.G. Chi, S.K. Banerjee, </w:t>
      </w:r>
      <w:proofErr w:type="spellStart"/>
      <w:r>
        <w:rPr>
          <w:sz w:val="18"/>
          <w:szCs w:val="18"/>
          <w:lang w:val="en-US"/>
        </w:rPr>
        <w:t>Angew</w:t>
      </w:r>
      <w:proofErr w:type="spellEnd"/>
      <w:r>
        <w:rPr>
          <w:sz w:val="18"/>
          <w:szCs w:val="18"/>
          <w:lang w:val="en-US"/>
        </w:rPr>
        <w:t xml:space="preserve">. Chem.-Int. Edit. </w:t>
      </w:r>
      <w:r w:rsidRPr="006E05C8">
        <w:rPr>
          <w:b/>
          <w:sz w:val="18"/>
          <w:szCs w:val="18"/>
          <w:lang w:val="en-US"/>
        </w:rPr>
        <w:t>61</w:t>
      </w:r>
      <w:r>
        <w:rPr>
          <w:sz w:val="18"/>
          <w:szCs w:val="18"/>
          <w:lang w:val="en-US"/>
        </w:rPr>
        <w:t xml:space="preserve"> (2022) </w:t>
      </w:r>
      <w:r w:rsidRPr="006E05C8">
        <w:rPr>
          <w:sz w:val="18"/>
          <w:szCs w:val="18"/>
          <w:lang w:val="en-US"/>
        </w:rPr>
        <w:t>e202112412</w:t>
      </w:r>
      <w:r>
        <w:rPr>
          <w:sz w:val="18"/>
          <w:szCs w:val="18"/>
          <w:lang w:val="en-US"/>
        </w:rPr>
        <w:t>19.</w:t>
      </w:r>
    </w:p>
    <w:p w:rsidR="00867ED4" w:rsidRPr="00A23896" w:rsidRDefault="006E05C8" w:rsidP="004B324E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A23896">
        <w:rPr>
          <w:sz w:val="18"/>
          <w:szCs w:val="18"/>
          <w:lang w:val="en-US"/>
        </w:rPr>
        <w:t>L. </w:t>
      </w:r>
      <w:proofErr w:type="spellStart"/>
      <w:r w:rsidRPr="00A23896">
        <w:rPr>
          <w:sz w:val="18"/>
          <w:szCs w:val="18"/>
          <w:lang w:val="en-US"/>
        </w:rPr>
        <w:t>Protesescu</w:t>
      </w:r>
      <w:proofErr w:type="spellEnd"/>
      <w:r w:rsidRPr="00A23896">
        <w:rPr>
          <w:sz w:val="18"/>
          <w:szCs w:val="18"/>
          <w:lang w:val="en-US"/>
        </w:rPr>
        <w:t xml:space="preserve">, S. Yakunin, M.I. Bodnarchuk, F. Krieg, </w:t>
      </w:r>
      <w:r w:rsidR="00A23896" w:rsidRPr="00A23896">
        <w:rPr>
          <w:sz w:val="18"/>
          <w:szCs w:val="18"/>
          <w:lang w:val="en-US"/>
        </w:rPr>
        <w:t>R. Caputo, C.H. Hendon, R.X. Yang, A. Walsh, M.V. </w:t>
      </w:r>
      <w:proofErr w:type="spellStart"/>
      <w:r w:rsidR="00A23896" w:rsidRPr="00A23896">
        <w:rPr>
          <w:sz w:val="18"/>
          <w:szCs w:val="18"/>
          <w:lang w:val="en-US"/>
        </w:rPr>
        <w:t>Kovalenko</w:t>
      </w:r>
      <w:proofErr w:type="spellEnd"/>
      <w:r w:rsidR="00A23896" w:rsidRPr="00A23896">
        <w:rPr>
          <w:sz w:val="18"/>
          <w:szCs w:val="18"/>
          <w:lang w:val="en-US"/>
        </w:rPr>
        <w:t>, Nano Lett., 15 (2015) 3692-3696</w:t>
      </w:r>
      <w:r w:rsidR="00D4096A" w:rsidRPr="00A23896">
        <w:rPr>
          <w:sz w:val="18"/>
          <w:szCs w:val="18"/>
          <w:lang w:val="en-US"/>
        </w:rPr>
        <w:t>.</w:t>
      </w:r>
    </w:p>
    <w:sectPr w:rsidR="00867ED4" w:rsidRPr="00A23896" w:rsidSect="007252E6">
      <w:pgSz w:w="11906" w:h="16838" w:code="9"/>
      <w:pgMar w:top="1134" w:right="1134" w:bottom="1134" w:left="1701" w:header="562" w:footer="562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9"/>
    <w:rsid w:val="00006AE2"/>
    <w:rsid w:val="00046938"/>
    <w:rsid w:val="00053A2C"/>
    <w:rsid w:val="001B04C1"/>
    <w:rsid w:val="00254F67"/>
    <w:rsid w:val="00257DE8"/>
    <w:rsid w:val="002B0165"/>
    <w:rsid w:val="002E3E1D"/>
    <w:rsid w:val="003B6A5A"/>
    <w:rsid w:val="004A1E19"/>
    <w:rsid w:val="004A7385"/>
    <w:rsid w:val="005427AB"/>
    <w:rsid w:val="005A4066"/>
    <w:rsid w:val="006343C0"/>
    <w:rsid w:val="0067072F"/>
    <w:rsid w:val="00696307"/>
    <w:rsid w:val="006E05C8"/>
    <w:rsid w:val="007252E6"/>
    <w:rsid w:val="00790B01"/>
    <w:rsid w:val="007C6F06"/>
    <w:rsid w:val="00867ED4"/>
    <w:rsid w:val="009E42F6"/>
    <w:rsid w:val="00A16329"/>
    <w:rsid w:val="00A23896"/>
    <w:rsid w:val="00AA7C75"/>
    <w:rsid w:val="00AF3BF8"/>
    <w:rsid w:val="00B16327"/>
    <w:rsid w:val="00B26DE5"/>
    <w:rsid w:val="00C31A64"/>
    <w:rsid w:val="00D4096A"/>
    <w:rsid w:val="00D77DB0"/>
    <w:rsid w:val="00DD3479"/>
    <w:rsid w:val="00EA0529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F1815"/>
  <w15:chartTrackingRefBased/>
  <w15:docId w15:val="{90869828-03B1-406F-BC60-831CFF9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06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2518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mailto:fim@chgf.vu.lt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Windows User</cp:lastModifiedBy>
  <cp:revision>5</cp:revision>
  <cp:lastPrinted>2003-04-09T07:04:00Z</cp:lastPrinted>
  <dcterms:created xsi:type="dcterms:W3CDTF">2022-09-17T06:15:00Z</dcterms:created>
  <dcterms:modified xsi:type="dcterms:W3CDTF">2022-09-17T06:44:00Z</dcterms:modified>
</cp:coreProperties>
</file>